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9100452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370F0D9A" w:rsidR="00054F7D" w:rsidRDefault="00C006E1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  <w:r w:rsidR="00FD0F3A">
        <w:rPr>
          <w:rFonts w:ascii="Tahoma" w:hAnsi="Tahoma" w:cs="Tahoma"/>
          <w:b/>
          <w:sz w:val="22"/>
          <w:szCs w:val="22"/>
        </w:rPr>
        <w:t>: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F0479E">
        <w:trPr>
          <w:trHeight w:hRule="exact" w:val="76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9059A0E" w:rsidR="00D06A6A" w:rsidRPr="00313D5A" w:rsidRDefault="00C006E1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06E1">
              <w:rPr>
                <w:rFonts w:ascii="Tahoma" w:hAnsi="Tahoma" w:cs="Tahoma"/>
                <w:sz w:val="20"/>
                <w:szCs w:val="20"/>
              </w:rPr>
              <w:t>Предоставление услуг по разработке и реализации мероприятия «Фестиваль экстрима «Высота 517» в рамках серии спортивных любительских мероприятий (летний сезон 2024)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FD5CD16" w:rsidR="00EE2592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06E1">
              <w:rPr>
                <w:rFonts w:ascii="Tahoma" w:hAnsi="Tahoma" w:cs="Tahoma"/>
                <w:sz w:val="20"/>
                <w:szCs w:val="20"/>
              </w:rPr>
              <w:t>6 и 7 июля 2024 г</w:t>
            </w:r>
            <w:r>
              <w:rPr>
                <w:rFonts w:ascii="Tahoma" w:hAnsi="Tahoma" w:cs="Tahoma"/>
                <w:sz w:val="20"/>
                <w:szCs w:val="20"/>
              </w:rPr>
              <w:t>ода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8B4073F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541DB2" w:rsidRPr="00541DB2">
              <w:rPr>
                <w:rFonts w:ascii="Tahoma" w:hAnsi="Tahoma" w:cs="Tahoma"/>
                <w:sz w:val="20"/>
                <w:szCs w:val="20"/>
              </w:rPr>
              <w:t>06.06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22B8F91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541DB2">
              <w:rPr>
                <w:rFonts w:ascii="Tahoma" w:hAnsi="Tahoma" w:cs="Tahoma"/>
                <w:sz w:val="20"/>
                <w:szCs w:val="20"/>
              </w:rPr>
              <w:t>11</w:t>
            </w:r>
            <w:r w:rsidR="00E05B79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9384BC0" w14:textId="77777777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>о н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>аличи</w:t>
            </w:r>
            <w:r w:rsidR="00F0479E">
              <w:rPr>
                <w:rFonts w:ascii="Tahoma" w:hAnsi="Tahoma" w:cs="Tahoma"/>
                <w:sz w:val="20"/>
                <w:szCs w:val="20"/>
              </w:rPr>
              <w:t>и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 xml:space="preserve"> у исполнителя опыта </w:t>
            </w:r>
            <w:r w:rsidR="00C006E1" w:rsidRPr="00C006E1">
              <w:rPr>
                <w:rFonts w:ascii="Tahoma" w:hAnsi="Tahoma" w:cs="Tahoma"/>
                <w:sz w:val="20"/>
                <w:szCs w:val="20"/>
              </w:rPr>
              <w:t>проведения спортивных любительских соревнований</w:t>
            </w:r>
            <w:r w:rsidR="00C006E1">
              <w:rPr>
                <w:rFonts w:ascii="Tahoma" w:hAnsi="Tahoma" w:cs="Tahoma"/>
                <w:sz w:val="20"/>
                <w:szCs w:val="20"/>
              </w:rPr>
              <w:t>, указать количество мероприятий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 xml:space="preserve"> (инф. письмо)</w:t>
            </w:r>
            <w:r w:rsidR="00C006E1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33ADCA11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м</w:t>
            </w:r>
            <w:r w:rsidRPr="00C006E1">
              <w:rPr>
                <w:rFonts w:ascii="Tahoma" w:hAnsi="Tahoma" w:cs="Tahoma"/>
                <w:sz w:val="20"/>
                <w:szCs w:val="20"/>
              </w:rPr>
              <w:t>ассовость любительских соревнований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, указать количество участников </w:t>
            </w:r>
            <w:r w:rsidRPr="00F0479E">
              <w:rPr>
                <w:rFonts w:ascii="Tahoma" w:hAnsi="Tahoma" w:cs="Tahoma"/>
                <w:sz w:val="20"/>
                <w:szCs w:val="20"/>
              </w:rPr>
              <w:t>(инф. письмо)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14:paraId="01CA6E82" w14:textId="6D7031FC" w:rsidR="00525404" w:rsidRPr="00313D5A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1F391FE5" w:rsidR="00C006E1" w:rsidRPr="00C006E1" w:rsidRDefault="00525404" w:rsidP="00C006E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C006E1" w:rsidRPr="00C006E1">
        <w:rPr>
          <w:rFonts w:ascii="Tahoma" w:hAnsi="Tahoma" w:cs="Tahoma"/>
          <w:sz w:val="20"/>
          <w:szCs w:val="20"/>
        </w:rPr>
        <w:t>Кочеров</w:t>
      </w:r>
      <w:r w:rsidR="00C006E1">
        <w:rPr>
          <w:rFonts w:ascii="Tahoma" w:hAnsi="Tahoma" w:cs="Tahoma"/>
          <w:sz w:val="20"/>
          <w:szCs w:val="20"/>
        </w:rPr>
        <w:t>ой</w:t>
      </w:r>
      <w:r w:rsidR="00C006E1" w:rsidRPr="00C006E1">
        <w:rPr>
          <w:rFonts w:ascii="Tahoma" w:hAnsi="Tahoma" w:cs="Tahoma"/>
          <w:sz w:val="20"/>
          <w:szCs w:val="20"/>
        </w:rPr>
        <w:t xml:space="preserve"> Анастаси</w:t>
      </w:r>
      <w:r w:rsidR="00F047EC">
        <w:rPr>
          <w:rFonts w:ascii="Tahoma" w:hAnsi="Tahoma" w:cs="Tahoma"/>
          <w:sz w:val="20"/>
          <w:szCs w:val="20"/>
        </w:rPr>
        <w:t>и</w:t>
      </w:r>
      <w:r w:rsidR="00C006E1" w:rsidRPr="00C006E1">
        <w:rPr>
          <w:rFonts w:ascii="Tahoma" w:hAnsi="Tahoma" w:cs="Tahoma"/>
          <w:sz w:val="20"/>
          <w:szCs w:val="20"/>
        </w:rPr>
        <w:t xml:space="preserve"> Викторовн</w:t>
      </w:r>
      <w:r w:rsidR="00F047EC">
        <w:rPr>
          <w:rFonts w:ascii="Tahoma" w:hAnsi="Tahoma" w:cs="Tahoma"/>
          <w:sz w:val="20"/>
          <w:szCs w:val="20"/>
        </w:rPr>
        <w:t>е</w:t>
      </w:r>
    </w:p>
    <w:p w14:paraId="5EB2D0F0" w14:textId="148A1AD5" w:rsidR="002E1C58" w:rsidRDefault="00DE4E5E" w:rsidP="002E1C58">
      <w:pPr>
        <w:rPr>
          <w:rFonts w:ascii="Tahoma" w:hAnsi="Tahoma" w:cs="Tahoma"/>
          <w:sz w:val="20"/>
          <w:szCs w:val="20"/>
        </w:rPr>
      </w:pPr>
      <w:hyperlink r:id="rId11" w:history="1">
        <w:r w:rsidR="00C006E1" w:rsidRPr="00C006E1">
          <w:rPr>
            <w:rStyle w:val="a9"/>
            <w:rFonts w:ascii="Tahoma" w:hAnsi="Tahoma" w:cs="Tahoma"/>
            <w:sz w:val="20"/>
            <w:szCs w:val="20"/>
          </w:rPr>
          <w:t>KocherovaAVi@bobrovylog.ru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E05B79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</w:t>
      </w:r>
      <w:r w:rsidR="00E05B79">
        <w:rPr>
          <w:rFonts w:ascii="Tahoma" w:hAnsi="Tahoma" w:cs="Tahoma"/>
          <w:sz w:val="20"/>
          <w:szCs w:val="20"/>
        </w:rPr>
        <w:t>ию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05B79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="0052540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0D52D858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68C3597B" w14:textId="5D989737" w:rsidR="002C4322" w:rsidRPr="00F93FAB" w:rsidRDefault="008E5880" w:rsidP="002E1C58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2E1C58" w:rsidRPr="002E1C58">
        <w:rPr>
          <w:rFonts w:ascii="Tahoma" w:hAnsi="Tahoma" w:cs="Tahoma"/>
          <w:b/>
          <w:sz w:val="20"/>
          <w:szCs w:val="20"/>
        </w:rPr>
        <w:t>Заместитель генерального директора по коммерческой работе</w:t>
      </w:r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E1C58">
        <w:rPr>
          <w:rFonts w:ascii="Tahoma" w:hAnsi="Tahoma" w:cs="Tahoma"/>
          <w:b/>
          <w:sz w:val="20"/>
          <w:szCs w:val="20"/>
        </w:rPr>
        <w:t xml:space="preserve">                 </w:t>
      </w:r>
      <w:proofErr w:type="spellStart"/>
      <w:r w:rsidR="002E1C58">
        <w:rPr>
          <w:rFonts w:ascii="Tahoma" w:hAnsi="Tahoma" w:cs="Tahoma"/>
          <w:b/>
          <w:sz w:val="20"/>
          <w:szCs w:val="20"/>
        </w:rPr>
        <w:t>Г.Н.Ботвинин</w:t>
      </w:r>
      <w:proofErr w:type="spellEnd"/>
      <w:r w:rsidR="002C4322" w:rsidRPr="00F93FAB">
        <w:rPr>
          <w:rFonts w:ascii="Tahoma" w:hAnsi="Tahoma" w:cs="Tahoma"/>
          <w:b/>
          <w:sz w:val="20"/>
          <w:szCs w:val="20"/>
        </w:rPr>
        <w:tab/>
        <w:t xml:space="preserve"> </w:t>
      </w:r>
      <w:r w:rsidR="002C4322">
        <w:rPr>
          <w:rFonts w:ascii="Tahoma" w:hAnsi="Tahoma" w:cs="Tahoma"/>
          <w:b/>
          <w:sz w:val="20"/>
          <w:szCs w:val="20"/>
        </w:rPr>
        <w:t xml:space="preserve">                                     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92330"/>
    <w:rsid w:val="004B044E"/>
    <w:rsid w:val="004B3681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4E5E"/>
    <w:rsid w:val="00DE7F13"/>
    <w:rsid w:val="00DF0CC7"/>
    <w:rsid w:val="00DF7E37"/>
    <w:rsid w:val="00E01D11"/>
    <w:rsid w:val="00E05B79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E3A11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erovaA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2020-01-29T08:20:00Z</cp:lastPrinted>
  <dcterms:created xsi:type="dcterms:W3CDTF">2024-06-05T06:48:00Z</dcterms:created>
  <dcterms:modified xsi:type="dcterms:W3CDTF">2024-06-05T06:48:00Z</dcterms:modified>
</cp:coreProperties>
</file>