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C3053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801504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Обновление ПО «Гранд-Смета»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8015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01504">
              <w:rPr>
                <w:rFonts w:ascii="Tahoma" w:hAnsi="Tahoma" w:cs="Tahoma"/>
                <w:sz w:val="20"/>
                <w:szCs w:val="20"/>
              </w:rPr>
              <w:t>30.04</w:t>
            </w:r>
            <w:r w:rsidR="00C30534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</w:tr>
      <w:tr w:rsidR="00DD16F7" w:rsidRPr="00F93FAB" w:rsidTr="00195474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8" w:rsidRDefault="00FD2078" w:rsidP="00FD20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D2078" w:rsidRPr="00F93FAB" w:rsidRDefault="00FD2078" w:rsidP="00FD20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D2078" w:rsidRDefault="00FD2078" w:rsidP="00FD207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(не ранее)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FD2078" w:rsidRDefault="00FD2078" w:rsidP="00FD20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bookmarkStart w:id="0" w:name="_GoBack"/>
            <w:bookmarkEnd w:id="0"/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D2078" w:rsidRDefault="00FD2078" w:rsidP="00FD20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C468DD" w:rsidRDefault="00FD2078" w:rsidP="00FD20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0150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 xml:space="preserve"> 25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01504">
              <w:rPr>
                <w:rFonts w:ascii="Tahoma" w:hAnsi="Tahoma" w:cs="Tahoma"/>
                <w:sz w:val="20"/>
                <w:szCs w:val="20"/>
                <w:u w:val="single"/>
              </w:rPr>
              <w:t>03.2019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0150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801504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01504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04" w:rsidRDefault="00801504" w:rsidP="008015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Наличие сертификата партнера группы компаний «Гранд» </w:t>
            </w:r>
            <w:r>
              <w:rPr>
                <w:rFonts w:ascii="Tahoma" w:hAnsi="Tahoma" w:cs="Tahoma"/>
                <w:sz w:val="20"/>
                <w:szCs w:val="20"/>
              </w:rPr>
              <w:t>(предоставить копию)</w:t>
            </w:r>
          </w:p>
          <w:p w:rsidR="00CA304E" w:rsidRPr="00712187" w:rsidRDefault="00CA304E" w:rsidP="00C3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801504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C305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C30534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C3053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060E9A" w:rsidRPr="0025759F" w:rsidRDefault="00764604" w:rsidP="00060E9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060E9A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060E9A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060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0E9A">
        <w:rPr>
          <w:rFonts w:ascii="Tahoma" w:hAnsi="Tahoma" w:cs="Tahoma"/>
          <w:sz w:val="20"/>
          <w:szCs w:val="20"/>
        </w:rPr>
        <w:t>Павливу</w:t>
      </w:r>
      <w:proofErr w:type="spellEnd"/>
      <w:r w:rsidR="00060E9A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060E9A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060E9A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060E9A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060E9A">
        <w:rPr>
          <w:rFonts w:ascii="Tahoma" w:hAnsi="Tahoma" w:cs="Tahoma"/>
          <w:sz w:val="20"/>
          <w:szCs w:val="20"/>
        </w:rPr>
        <w:t>Мезенцеву Андрею Васильевичу</w:t>
      </w:r>
      <w:r w:rsidR="00060E9A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C3053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C30534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C3053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60E9A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195474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2234E"/>
    <w:rsid w:val="00761C2D"/>
    <w:rsid w:val="00764604"/>
    <w:rsid w:val="00783067"/>
    <w:rsid w:val="00791C48"/>
    <w:rsid w:val="007B4011"/>
    <w:rsid w:val="007D7A3B"/>
    <w:rsid w:val="00801504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57B7F"/>
    <w:rsid w:val="00BA342F"/>
    <w:rsid w:val="00BF763E"/>
    <w:rsid w:val="00C005DF"/>
    <w:rsid w:val="00C015D1"/>
    <w:rsid w:val="00C101F2"/>
    <w:rsid w:val="00C30534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0000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2078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Довгаль Татьяна Викторовна</cp:lastModifiedBy>
  <cp:revision>131</cp:revision>
  <cp:lastPrinted>2019-03-19T03:31:00Z</cp:lastPrinted>
  <dcterms:created xsi:type="dcterms:W3CDTF">2016-10-17T03:55:00Z</dcterms:created>
  <dcterms:modified xsi:type="dcterms:W3CDTF">2019-03-19T03:32:00Z</dcterms:modified>
</cp:coreProperties>
</file>