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245351"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-исх</w:t>
            </w:r>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18D91E6B" w:rsidR="00D06A6A" w:rsidRPr="00CB3B3A" w:rsidRDefault="00E40E5C" w:rsidP="00A45CF6">
            <w:pPr>
              <w:jc w:val="both"/>
              <w:rPr>
                <w:rFonts w:ascii="Tahoma" w:hAnsi="Tahoma" w:cs="Tahoma"/>
                <w:sz w:val="20"/>
                <w:szCs w:val="20"/>
              </w:rPr>
            </w:pPr>
            <w:r w:rsidRPr="001D798B">
              <w:rPr>
                <w:rFonts w:ascii="Tahoma" w:hAnsi="Tahoma" w:cs="Tahoma"/>
                <w:sz w:val="20"/>
                <w:szCs w:val="20"/>
              </w:rPr>
              <w:t>Предоставление услуг фото-видеосъемки рекламно-имиджевых мероприятий Фанпарка "Бобровый лог"</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5D54E511"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8C3A8A">
              <w:rPr>
                <w:rFonts w:ascii="Tahoma" w:hAnsi="Tahoma" w:cs="Tahoma"/>
                <w:sz w:val="20"/>
                <w:szCs w:val="20"/>
              </w:rPr>
              <w:t>20</w:t>
            </w:r>
            <w:r w:rsidRPr="00CB3B3A">
              <w:rPr>
                <w:rFonts w:ascii="Tahoma" w:hAnsi="Tahoma" w:cs="Tahoma"/>
                <w:sz w:val="20"/>
                <w:szCs w:val="20"/>
              </w:rPr>
              <w:t>»</w:t>
            </w:r>
            <w:r w:rsidR="00BD108B" w:rsidRPr="00CB3B3A">
              <w:rPr>
                <w:rFonts w:ascii="Tahoma" w:hAnsi="Tahoma" w:cs="Tahoma"/>
                <w:sz w:val="20"/>
                <w:szCs w:val="20"/>
              </w:rPr>
              <w:t xml:space="preserve"> </w:t>
            </w:r>
            <w:r w:rsidR="00E40E5C">
              <w:rPr>
                <w:rFonts w:ascii="Tahoma" w:hAnsi="Tahoma" w:cs="Tahoma"/>
                <w:sz w:val="20"/>
                <w:szCs w:val="20"/>
              </w:rPr>
              <w:t>марта</w:t>
            </w:r>
            <w:r w:rsidRPr="00CB3B3A">
              <w:rPr>
                <w:rFonts w:ascii="Tahoma" w:hAnsi="Tahoma" w:cs="Tahoma"/>
                <w:sz w:val="20"/>
                <w:szCs w:val="20"/>
              </w:rPr>
              <w:t xml:space="preserve"> 202</w:t>
            </w:r>
            <w:r w:rsidR="00E40E5C">
              <w:rPr>
                <w:rFonts w:ascii="Tahoma" w:hAnsi="Tahoma" w:cs="Tahoma"/>
                <w:sz w:val="20"/>
                <w:szCs w:val="20"/>
              </w:rPr>
              <w:t>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4451018E" w:rsidR="00525404" w:rsidRPr="00CB3B3A" w:rsidRDefault="00E40E5C" w:rsidP="00DF7718">
            <w:pPr>
              <w:jc w:val="both"/>
              <w:rPr>
                <w:rFonts w:ascii="Tahoma" w:hAnsi="Tahoma" w:cs="Tahoma"/>
                <w:sz w:val="20"/>
                <w:szCs w:val="20"/>
              </w:rPr>
            </w:pPr>
            <w:r w:rsidRPr="001D798B">
              <w:rPr>
                <w:rFonts w:ascii="Tahoma" w:hAnsi="Tahoma" w:cs="Tahoma"/>
                <w:sz w:val="20"/>
                <w:szCs w:val="20"/>
              </w:rPr>
              <w:t>В соответствии с планом Рекламно-имиджевых мероприятий Фанпарка на 2026 год.</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EB5031D" w14:textId="77777777" w:rsidR="0017089C" w:rsidRPr="004374E9" w:rsidRDefault="0017089C" w:rsidP="0017089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109C7B3" w14:textId="0F078639"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10DF18F4" w:rsidR="00DF7718" w:rsidRPr="00DF7718" w:rsidRDefault="00F620D9" w:rsidP="00DF7718">
            <w:pPr>
              <w:keepNext/>
              <w:spacing w:before="120"/>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098279" w14:textId="77777777" w:rsidR="00E40E5C" w:rsidRPr="004374E9" w:rsidRDefault="00E40E5C" w:rsidP="00E40E5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34471470" w:rsidR="00DF7718" w:rsidRPr="00CB3B3A" w:rsidRDefault="00DF7718" w:rsidP="00DF7718">
            <w:pPr>
              <w:widowControl w:val="0"/>
              <w:shd w:val="clear" w:color="auto" w:fill="FFFFFF"/>
              <w:tabs>
                <w:tab w:val="left" w:pos="1134"/>
              </w:tabs>
              <w:contextualSpacing/>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59CCF692"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271C2624"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7DF00A84"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CB3B3A" w:rsidRDefault="006D1986" w:rsidP="00084880">
            <w:pPr>
              <w:rPr>
                <w:rFonts w:ascii="Tahoma" w:hAnsi="Tahoma" w:cs="Tahoma"/>
                <w:sz w:val="20"/>
                <w:szCs w:val="20"/>
                <w:lang w:val="en-US"/>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7CD0692E"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6D1986" w:rsidRPr="00CB3B3A" w:rsidRDefault="006D1986" w:rsidP="001D798B">
            <w:pPr>
              <w:spacing w:line="276" w:lineRule="auto"/>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5E885467" w:rsidR="00CB3B3A" w:rsidRPr="00CB3B3A" w:rsidRDefault="00EE435F" w:rsidP="001D798B">
            <w:pPr>
              <w:spacing w:line="276" w:lineRule="auto"/>
              <w:jc w:val="both"/>
              <w:rPr>
                <w:rFonts w:ascii="Tahoma" w:hAnsi="Tahoma" w:cs="Tahoma"/>
                <w:sz w:val="20"/>
                <w:szCs w:val="20"/>
              </w:rPr>
            </w:pPr>
            <w:r w:rsidRPr="00CB3B3A">
              <w:rPr>
                <w:rFonts w:ascii="Tahoma" w:hAnsi="Tahoma" w:cs="Tahoma"/>
                <w:sz w:val="20"/>
                <w:szCs w:val="20"/>
              </w:rPr>
              <w:t xml:space="preserve">- </w:t>
            </w:r>
            <w:r w:rsidR="00B073DF" w:rsidRPr="00B073DF">
              <w:rPr>
                <w:rFonts w:ascii="Tahoma" w:hAnsi="Tahoma" w:cs="Tahoma"/>
                <w:sz w:val="20"/>
                <w:szCs w:val="20"/>
              </w:rPr>
              <w:t>Наличие у исполнителя опыта оказания данного вида услуг на горнолыжном комплексе с 2022 по 2025 годы (количество договоров)</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 xml:space="preserve">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w:t>
      </w:r>
      <w:r w:rsidRPr="00CB3B3A">
        <w:rPr>
          <w:rFonts w:ascii="Tahoma" w:hAnsi="Tahoma" w:cs="Tahoma"/>
          <w:sz w:val="20"/>
          <w:szCs w:val="20"/>
        </w:rPr>
        <w:lastRenderedPageBreak/>
        <w:t>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2A54DF3E" w:rsidR="006604AD" w:rsidRPr="00CB3B3A" w:rsidRDefault="00DF7718" w:rsidP="006604AD">
            <w:pPr>
              <w:rPr>
                <w:rFonts w:ascii="Tahoma" w:hAnsi="Tahoma" w:cs="Tahoma"/>
                <w:sz w:val="20"/>
                <w:szCs w:val="20"/>
              </w:rPr>
            </w:pPr>
            <w:r w:rsidRPr="00B40B94">
              <w:rPr>
                <w:rFonts w:ascii="Tahoma" w:hAnsi="Tahoma" w:cs="Tahoma"/>
                <w:sz w:val="20"/>
                <w:szCs w:val="20"/>
              </w:rPr>
              <w:t>Не применимо.</w:t>
            </w:r>
          </w:p>
        </w:tc>
      </w:tr>
      <w:tr w:rsidR="00FB7193"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FB7193" w:rsidRPr="00CB3B3A" w:rsidRDefault="00FB7193" w:rsidP="006604AD">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47E6BB2C" w:rsidR="00FB7193" w:rsidRPr="00CB3B3A" w:rsidRDefault="00B073DF" w:rsidP="006604AD">
            <w:pPr>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073DF"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073DF" w:rsidRPr="00CB3B3A" w:rsidRDefault="00B073DF" w:rsidP="00B073DF">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41AE7197" w:rsidR="00B073DF" w:rsidRPr="00CB3B3A" w:rsidRDefault="00B073DF" w:rsidP="00B073DF">
            <w:pPr>
              <w:rPr>
                <w:rFonts w:ascii="Tahoma" w:hAnsi="Tahoma" w:cs="Tahoma"/>
                <w:sz w:val="20"/>
                <w:szCs w:val="20"/>
              </w:rPr>
            </w:pPr>
            <w:r w:rsidRPr="00A32004">
              <w:rPr>
                <w:rFonts w:ascii="Tahoma" w:hAnsi="Tahoma" w:cs="Tahoma"/>
                <w:sz w:val="20"/>
                <w:szCs w:val="20"/>
              </w:rPr>
              <w:t>Неприменимо.</w:t>
            </w:r>
          </w:p>
        </w:tc>
      </w:tr>
      <w:tr w:rsidR="00B073DF"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073DF" w:rsidRPr="00CB3B3A" w:rsidRDefault="00B073DF" w:rsidP="00B073DF">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611A341" w:rsidR="00B073DF" w:rsidRPr="00CB3B3A" w:rsidRDefault="00B073DF" w:rsidP="00B073DF">
            <w:pPr>
              <w:rPr>
                <w:rFonts w:ascii="Tahoma" w:hAnsi="Tahoma" w:cs="Tahoma"/>
                <w:sz w:val="20"/>
                <w:szCs w:val="20"/>
              </w:rPr>
            </w:pPr>
            <w:r w:rsidRPr="00A3200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1853AB9C" w:rsidR="006604AD" w:rsidRPr="00CB3B3A" w:rsidRDefault="00B073DF"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7EA9565" w:rsidR="006604AD" w:rsidRPr="00CB3B3A" w:rsidRDefault="00B073DF" w:rsidP="006604AD">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89A7400" w14:textId="0B496FDE" w:rsidR="00393762" w:rsidRDefault="00B073DF" w:rsidP="00B073DF">
      <w:pPr>
        <w:rPr>
          <w:rFonts w:ascii="Tahoma" w:hAnsi="Tahoma" w:cs="Tahoma"/>
          <w:b/>
          <w:sz w:val="20"/>
          <w:szCs w:val="20"/>
        </w:rPr>
      </w:pPr>
      <w:r w:rsidRPr="00B073DF">
        <w:rPr>
          <w:rFonts w:ascii="Tahoma" w:hAnsi="Tahoma" w:cs="Tahoma"/>
          <w:b/>
          <w:sz w:val="20"/>
          <w:szCs w:val="20"/>
        </w:rPr>
        <w:t>Руководитель направления pr и рекламы</w:t>
      </w:r>
      <w:r w:rsidRPr="00E426E4">
        <w:rPr>
          <w:rFonts w:ascii="Tahoma" w:hAnsi="Tahoma" w:cs="Tahoma"/>
          <w:b/>
          <w:sz w:val="20"/>
          <w:szCs w:val="20"/>
        </w:rPr>
        <w:tab/>
      </w:r>
      <w:r w:rsidR="00393762" w:rsidRPr="00E426E4">
        <w:rPr>
          <w:rFonts w:ascii="Tahoma" w:hAnsi="Tahoma" w:cs="Tahoma"/>
          <w:b/>
          <w:sz w:val="20"/>
          <w:szCs w:val="20"/>
        </w:rPr>
        <w:t xml:space="preserve"> </w:t>
      </w:r>
      <w:r w:rsidR="00393762">
        <w:rPr>
          <w:rFonts w:ascii="Tahoma" w:hAnsi="Tahoma" w:cs="Tahoma"/>
          <w:b/>
          <w:sz w:val="20"/>
          <w:szCs w:val="20"/>
        </w:rPr>
        <w:t xml:space="preserve">                      </w:t>
      </w:r>
      <w:r w:rsidR="00723DA7">
        <w:rPr>
          <w:rFonts w:ascii="Tahoma" w:hAnsi="Tahoma" w:cs="Tahoma"/>
          <w:b/>
          <w:sz w:val="20"/>
          <w:szCs w:val="20"/>
        </w:rPr>
        <w:t xml:space="preserve">                  </w:t>
      </w:r>
      <w:r>
        <w:rPr>
          <w:rFonts w:ascii="Tahoma" w:hAnsi="Tahoma" w:cs="Tahoma"/>
          <w:b/>
          <w:sz w:val="20"/>
          <w:szCs w:val="20"/>
        </w:rPr>
        <w:t>В.Д. Маношкина</w:t>
      </w: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0A28"/>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D798B"/>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B664B"/>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3A8A"/>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073DF"/>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0E5C"/>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6</Pages>
  <Words>2289</Words>
  <Characters>13049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26</cp:revision>
  <cp:lastPrinted>2024-02-26T09:46:00Z</cp:lastPrinted>
  <dcterms:created xsi:type="dcterms:W3CDTF">2025-06-16T11:26:00Z</dcterms:created>
  <dcterms:modified xsi:type="dcterms:W3CDTF">2026-03-17T02:36:00Z</dcterms:modified>
</cp:coreProperties>
</file>